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II.8.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testületi szerv döntései előkészítésének rendje,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állampolgári közreműködés (véleményezés) módja, eljárási szabályai,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testületi szerv üléseinek helye, ideje, továbbá nyilvánossága, döntései,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ülésének jegyzőkönyvei, illetve összefoglalói;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testületi szerv szavazásának adatai, ha ezt jogszabály nem korlátozza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Sárospataki Tankerületi Központ az állami köznevelési közfeladat ellátásában fenntartóként részt vevő szervekről, valamint a Klebelsberg Központról szóló 134/2016. (VI. 10.) Korm. rendelet 2/A. § alapján tankerületi tanácsot működtet, az alábbi 2/B.§ és 2/C §-ai szerint: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“2/B. § *  (1) A tankerületi tanács a tankerületi központ mellett működő javaslattevő, véleményező, tanácsadó testület, amelynek célja 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a helyi, területi, térségi társadalmi-gazdasági környezeti érdekek, célok összehangolása a tankerületi központ fenntartói tevékenységével kapcsolatos oktatásirányítási célokkal;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a hosszú távú, átfogó, köznevelés-igazgatási célok összehangolása a tankerületi központ illetékességi területén;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a fenntartói stratégiai döntések megalapozása.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(2) A tankerületi tanács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véleményezheti a tankerületi központ fenntartásába tartozó köznevelési intézményekre vonatkozó fejlesztési tervet, valamint az illetékes tankerületi központ által benyújtott pályázatok, projektek megvalósítását;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javaslattal élhet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ba) a Klebelsberg Központ által meghatározott, az illetékes tankerületi központot érintő infrastrukturális fejlesztésekkel,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bb) az illetékes tankerületi központot érintő európai uniós infrastrukturális pályázatok, projektek megvalósításával,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bc) az illetékes tankerületi központ területéhez tartozó, oktatásirányítást érintő fejlesztési tervek elkészítésével,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bd) egyeztetések lefolytatásával, valamint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be) egyéb, köznevelést érintő helyi ügyekkel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kapcsolatosan;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tanácsadással segítheti a fejlesztési tervek megvalósítását, a stratégiai tervezést.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(3) A tankerületi tanács - az a) pont kivételével - az oktatásért felelős miniszter által öt évre felkért állandó tagokból áll. Az állandó tagok közé tartozik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az illetékes tankerületi központ vezetője,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a Klebelsberg Központ által javasolt - azzal foglalkoztatotti jogviszonyban nem álló - egy fő,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a Nemzeti Pedagógus Kar által jelölt egy fő,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d) az oktatásért felelős miniszter által a (4) bekezdés szerinti szervezetek által jelöltek közül felkért összesen három-öt fő.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(4) A tankerületi tanács állandó tagjai közé képviselőt jelölhetnek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az országos önkormányzati szövetségek,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az Országos Nemzetiségi Önkormányzatok Szövetsége,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a Nagycsaládosok Országos Egyesülete,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d) a tankerületi központ által fenntartott intézményekben működő diákönkormányzatok.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(5) A (4) bekezdésben foglalt szervezetek egy-egy főt jelölhetnek.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(6) A jelölésre a (3) bekezdés b) és c) pontja és a (4) bekezdés szerinti szervezeteket határidő megjelölésével az oktatásért felelős miniszter kéri fel. A személyi javaslat a tagjelölt elfogadó nyilatkozatával válik érvényessé.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(7) A tagok díjazás nélkül látják el feladataikat. Az állandó tagok névsorát és - a jelölés elfogadásával egyidejűleg adott hozzájáruló nyilatkozata esetén - a szakmai önéletrajzát az illetékes tankerületi központ honlapján nyilvánosságra kell hozni.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(8) Az állandó tagok kiválasztására az érintett tankerületi központ illetékességi területén működő köznevelési intézmények feladatellátása és az oktatásirányítás szempontjából jellemző sajátosságainak figyelembevételével kerül sor.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(9) A tankerületi tanács elnöke az ügyrendben foglaltak szerint meghívhat eseti meghívottakat, így különösen az érintett helyi önkormányzatok, a tankerület illetékességi területén működő gazdasági társaságok, felsőoktatási intézmények, felzárkóztatással, esélyteremtéssel foglalkozó civil szervezetek, gyermekjóléti központ, valamint a tankerületi központ illetékességi területén székhellyel rendelkező köznevelési intézményt fenntartó egyházi és magánfenntartók képviselőit.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(10) A tankerületi központ gazdasági vezetője állandó meghívottként, tanácskozási joggal részt vesz a tankerületi tanács ülésein.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(11) A tankerületi tanács tagjának megbízatása megszűnik, ha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a tag megbízatásának időtartama lejár,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a tag meghal,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a tag a megbízatásáról lemond,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d) a diákönkormányzatok által jelölt tag tanulói jogviszonya megszűnik a tankerület illetékességi területén működő iskolával,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e) a megbízatása alapjául szolgáló jogviszonya megszűnik.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(12) Ha a tag megbízatása a (11) bekezdés b)-e) pontja alapján szűnik meg, a tagot jelölő szerv, a (3) bekezdés b) pontja szerinti tag esetében a Klebelsberg Központ, valamint a (4) bekezdésben meghatározott szervek 30 napon belül új tagot jelölnek.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2/C. §  (1) A tankerületi tanács működésének szabályait az ügyrendje határozza meg, amelyet a tankerületi tanács az alakuló ülésén fogad el.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(2) A tankerületi tanács ügyrendjét az illetékes tankerületi központ honlapján nyilvánosságra kell hozni.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(3) A tankerületi tanács elnöke a tankerületi központ vezetője, aki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 felel a tankerületi tanács működéséért,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 előkészíti az üléseket,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 dönt az eseti meghívottakról,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d) ellátja a tankerületi tanács képviseletét.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(4) A tankerületi tanács állandó munkacsoportja az antiszegregációs munkacsoport, amelynek tagjai díjazás nélkül látják el feladataikat. Az antiszegregációs munkacsoport vezetője évente egyszer beszámolót készít a munkacsoport tevékenységéről, amelyet a tárgyévet követő év január 31. napjáig megküld a Klebelsberg Központ elnökének. A Klebelsberg Központ elnöke a beszámolót a tárgyévet követő év február 28. napjáig továbbítja az oktatásért felelős miniszternek. A tankerületi tanács az ügyrendjében foglaltak szerint eseti munkacsoportot működtethet.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(5) A tankerületi tanácsot szükség szerint, de évente legalább kétszer össze kell hívni.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(6) A tankerületi tanács vezetője évente egyszer beszámolót készít a tankerületi tanács működéséről, amelyet a tárgyévet követő év január 31. napjáig megküld a Klebelsberg Központ elnökének. A Klebelsberg Központ elnöke a beszámolót a tárgyévet követő év február 28. napjáig továbbítja az oktatásért felelős miniszternek.”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536"/>
        <w:tab w:val="right" w:pos="9072"/>
      </w:tabs>
      <w:spacing w:before="20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536"/>
        <w:tab w:val="right" w:pos="9072"/>
      </w:tabs>
      <w:spacing w:before="20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5731200" cy="889000"/>
          <wp:effectExtent b="0" l="0" r="0" t="0"/>
          <wp:docPr descr="Nemzeti_Eroforras_Miniszterium" id="1" name="image1.png"/>
          <a:graphic>
            <a:graphicData uri="http://schemas.openxmlformats.org/drawingml/2006/picture">
              <pic:pic>
                <pic:nvPicPr>
                  <pic:cNvPr descr="Nemzeti_Eroforras_Miniszterium" id="0" name="image1.png"/>
                  <pic:cNvPicPr preferRelativeResize="0"/>
                </pic:nvPicPr>
                <pic:blipFill>
                  <a:blip r:embed="rId1"/>
                  <a:srcRect b="26702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ajan Pro" w:cs="Trajan Pro" w:eastAsia="Trajan Pro" w:hAnsi="Trajan Pro"/>
        <w:sz w:val="24"/>
        <w:szCs w:val="24"/>
        <w:rtl w:val="0"/>
      </w:rPr>
      <w:t xml:space="preserve"> Sárospataki Tankerületi Központ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